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56" w:rsidRDefault="001D6B56" w:rsidP="001D6B56">
      <w:pPr>
        <w:jc w:val="center"/>
      </w:pPr>
      <w:r>
        <w:t>COMUNICATO PER CONCESSIONE CONTRIBUTI FREQUENZA CENTRI ESTIVI 2020</w:t>
      </w:r>
    </w:p>
    <w:p w:rsidR="001D6B56" w:rsidRDefault="001D6B56" w:rsidP="001D6B56">
      <w:pPr>
        <w:jc w:val="center"/>
      </w:pPr>
      <w:r>
        <w:t xml:space="preserve"> ALUNNI SCUOLA DELL’INFANZIA – PRIMARIA E SECONDARIA </w:t>
      </w:r>
      <w:proofErr w:type="spellStart"/>
      <w:r>
        <w:t>DI</w:t>
      </w:r>
      <w:proofErr w:type="spellEnd"/>
      <w:r>
        <w:t xml:space="preserve"> 1° GRADO</w:t>
      </w:r>
    </w:p>
    <w:p w:rsidR="001D6B56" w:rsidRDefault="001D6B56" w:rsidP="001D6B56">
      <w:pPr>
        <w:jc w:val="center"/>
      </w:pPr>
      <w:r>
        <w:t xml:space="preserve"> RESIDENTI NEL COMUNE </w:t>
      </w:r>
      <w:proofErr w:type="spellStart"/>
      <w:r>
        <w:t>DI</w:t>
      </w:r>
      <w:proofErr w:type="spellEnd"/>
      <w:r>
        <w:t xml:space="preserve"> VAGLIA</w:t>
      </w:r>
    </w:p>
    <w:p w:rsidR="001D6B56" w:rsidRDefault="001D6B56" w:rsidP="00FB7B23">
      <w:pPr>
        <w:jc w:val="both"/>
      </w:pPr>
    </w:p>
    <w:p w:rsidR="00FB7B23" w:rsidRDefault="00FB7B23" w:rsidP="00FB7B23">
      <w:pPr>
        <w:jc w:val="both"/>
      </w:pPr>
      <w:r>
        <w:t xml:space="preserve">Con delibera N.63 del 30/6/2020 la Giunta Comunale di Vaglia ha approvato i criteri per l’assegnazione di contributi destinati ad alunni residenti nel Comune di Vaglia per la frequenza ai Centri Estivi 2020 nel periodo 15 giugno 2020/14 agosto 2020 </w:t>
      </w:r>
      <w:r w:rsidRPr="00147E43">
        <w:rPr>
          <w:b/>
        </w:rPr>
        <w:t>per un massimo di due settimane anche non consecutive</w:t>
      </w:r>
      <w:r>
        <w:t xml:space="preserve">. </w:t>
      </w:r>
    </w:p>
    <w:p w:rsidR="00147E43" w:rsidRPr="00C809CF" w:rsidRDefault="00147E43" w:rsidP="00147E43">
      <w:pPr>
        <w:jc w:val="both"/>
        <w:rPr>
          <w:rFonts w:ascii="Calibri" w:hAnsi="Calibri"/>
        </w:rPr>
      </w:pPr>
      <w:r>
        <w:rPr>
          <w:rFonts w:ascii="Calibri" w:hAnsi="Calibri"/>
        </w:rPr>
        <w:t>L</w:t>
      </w:r>
      <w:r w:rsidRPr="00C809CF">
        <w:rPr>
          <w:rFonts w:ascii="Calibri" w:hAnsi="Calibri"/>
        </w:rPr>
        <w:t>’entità del contributo</w:t>
      </w:r>
      <w:r>
        <w:rPr>
          <w:rFonts w:ascii="Calibri" w:hAnsi="Calibri"/>
        </w:rPr>
        <w:t xml:space="preserve"> per ciascuna settimana di partecipazione ai Centri Estivi 2020</w:t>
      </w:r>
      <w:r w:rsidR="000E5689">
        <w:rPr>
          <w:rFonts w:ascii="Calibri" w:hAnsi="Calibri"/>
        </w:rPr>
        <w:t xml:space="preserve"> (per un massimo di due settimane anche non consecutive)</w:t>
      </w:r>
      <w:r>
        <w:rPr>
          <w:rFonts w:ascii="Calibri" w:hAnsi="Calibri"/>
        </w:rPr>
        <w:t xml:space="preserve">, è stato stabilito con riferimento al reddito </w:t>
      </w:r>
      <w:r w:rsidRPr="00C809CF">
        <w:rPr>
          <w:rFonts w:ascii="Calibri" w:hAnsi="Calibri"/>
        </w:rPr>
        <w:t xml:space="preserve">ISEE </w:t>
      </w:r>
      <w:r>
        <w:rPr>
          <w:rFonts w:ascii="Calibri" w:hAnsi="Calibri"/>
        </w:rPr>
        <w:t>, come di seguito riportato:</w:t>
      </w:r>
    </w:p>
    <w:tbl>
      <w:tblPr>
        <w:tblW w:w="0" w:type="auto"/>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4997"/>
        <w:gridCol w:w="1244"/>
      </w:tblGrid>
      <w:tr w:rsidR="00147E43" w:rsidRPr="00C809CF" w:rsidTr="00F50AC7">
        <w:trPr>
          <w:jc w:val="center"/>
        </w:trPr>
        <w:tc>
          <w:tcPr>
            <w:tcW w:w="1272" w:type="dxa"/>
            <w:tcBorders>
              <w:left w:val="single" w:sz="4" w:space="0" w:color="auto"/>
            </w:tcBorders>
          </w:tcPr>
          <w:p w:rsidR="00147E43" w:rsidRPr="00C809CF" w:rsidRDefault="00147E43" w:rsidP="00F50AC7">
            <w:pPr>
              <w:rPr>
                <w:rFonts w:ascii="Calibri" w:hAnsi="Calibri"/>
                <w:bCs/>
              </w:rPr>
            </w:pPr>
            <w:r w:rsidRPr="00C809CF">
              <w:rPr>
                <w:rFonts w:ascii="Calibri" w:hAnsi="Calibri"/>
                <w:bCs/>
              </w:rPr>
              <w:t>Fasce</w:t>
            </w:r>
          </w:p>
        </w:tc>
        <w:tc>
          <w:tcPr>
            <w:tcW w:w="4997" w:type="dxa"/>
          </w:tcPr>
          <w:p w:rsidR="00147E43" w:rsidRPr="00C809CF" w:rsidRDefault="00147E43" w:rsidP="00F50AC7">
            <w:pPr>
              <w:rPr>
                <w:rFonts w:ascii="Calibri" w:hAnsi="Calibri"/>
                <w:bCs/>
              </w:rPr>
            </w:pPr>
            <w:r w:rsidRPr="00C809CF">
              <w:rPr>
                <w:rFonts w:ascii="Calibri" w:hAnsi="Calibri"/>
                <w:bCs/>
              </w:rPr>
              <w:t>Certificazione ISEE compresa tra</w:t>
            </w:r>
          </w:p>
        </w:tc>
        <w:tc>
          <w:tcPr>
            <w:tcW w:w="1244" w:type="dxa"/>
            <w:tcBorders>
              <w:right w:val="single" w:sz="4" w:space="0" w:color="auto"/>
            </w:tcBorders>
          </w:tcPr>
          <w:p w:rsidR="00147E43" w:rsidRPr="00C809CF" w:rsidRDefault="00147E43" w:rsidP="00F50AC7">
            <w:pPr>
              <w:rPr>
                <w:rFonts w:ascii="Calibri" w:hAnsi="Calibri"/>
                <w:bCs/>
              </w:rPr>
            </w:pPr>
            <w:r w:rsidRPr="00C809CF">
              <w:rPr>
                <w:rFonts w:ascii="Calibri" w:hAnsi="Calibri"/>
                <w:bCs/>
              </w:rPr>
              <w:t>contributo</w:t>
            </w:r>
          </w:p>
        </w:tc>
      </w:tr>
      <w:tr w:rsidR="00147E43" w:rsidRPr="00C809CF" w:rsidTr="00F50AC7">
        <w:trPr>
          <w:jc w:val="center"/>
        </w:trPr>
        <w:tc>
          <w:tcPr>
            <w:tcW w:w="1272" w:type="dxa"/>
          </w:tcPr>
          <w:p w:rsidR="00147E43" w:rsidRPr="00C809CF" w:rsidRDefault="00147E43" w:rsidP="00F50AC7">
            <w:pPr>
              <w:rPr>
                <w:rFonts w:ascii="Calibri" w:hAnsi="Calibri"/>
                <w:bCs/>
              </w:rPr>
            </w:pPr>
            <w:r w:rsidRPr="00C809CF">
              <w:rPr>
                <w:rFonts w:ascii="Calibri" w:hAnsi="Calibri"/>
                <w:bCs/>
              </w:rPr>
              <w:t>1°</w:t>
            </w:r>
          </w:p>
        </w:tc>
        <w:tc>
          <w:tcPr>
            <w:tcW w:w="4997" w:type="dxa"/>
          </w:tcPr>
          <w:p w:rsidR="00147E43" w:rsidRPr="00C809CF" w:rsidRDefault="00147E43" w:rsidP="00F50AC7">
            <w:pPr>
              <w:rPr>
                <w:rFonts w:ascii="Calibri" w:hAnsi="Calibri"/>
                <w:bCs/>
              </w:rPr>
            </w:pPr>
            <w:r w:rsidRPr="00C809CF">
              <w:rPr>
                <w:rFonts w:ascii="Calibri" w:hAnsi="Calibri"/>
                <w:bCs/>
              </w:rPr>
              <w:t>€ 0 – € 1</w:t>
            </w:r>
            <w:r>
              <w:rPr>
                <w:rFonts w:ascii="Calibri" w:hAnsi="Calibri"/>
                <w:bCs/>
              </w:rPr>
              <w:t>1</w:t>
            </w:r>
            <w:r w:rsidRPr="00C809CF">
              <w:rPr>
                <w:rFonts w:ascii="Calibri" w:hAnsi="Calibri"/>
                <w:bCs/>
              </w:rPr>
              <w:t>.000,00</w:t>
            </w:r>
          </w:p>
        </w:tc>
        <w:tc>
          <w:tcPr>
            <w:tcW w:w="1244" w:type="dxa"/>
            <w:tcBorders>
              <w:right w:val="single" w:sz="4" w:space="0" w:color="auto"/>
            </w:tcBorders>
          </w:tcPr>
          <w:p w:rsidR="00147E43" w:rsidRPr="00C809CF" w:rsidRDefault="00147E43" w:rsidP="00F50AC7">
            <w:pPr>
              <w:rPr>
                <w:rFonts w:ascii="Calibri" w:hAnsi="Calibri"/>
                <w:bCs/>
              </w:rPr>
            </w:pPr>
            <w:r w:rsidRPr="00C809CF">
              <w:rPr>
                <w:rFonts w:ascii="Calibri" w:hAnsi="Calibri"/>
                <w:bCs/>
              </w:rPr>
              <w:t xml:space="preserve">€   </w:t>
            </w:r>
            <w:r>
              <w:rPr>
                <w:rFonts w:ascii="Calibri" w:hAnsi="Calibri"/>
                <w:bCs/>
              </w:rPr>
              <w:t>7</w:t>
            </w:r>
            <w:r w:rsidRPr="00C809CF">
              <w:rPr>
                <w:rFonts w:ascii="Calibri" w:hAnsi="Calibri"/>
                <w:bCs/>
              </w:rPr>
              <w:t>0,00</w:t>
            </w:r>
          </w:p>
        </w:tc>
      </w:tr>
      <w:tr w:rsidR="00147E43" w:rsidRPr="00C809CF" w:rsidTr="00F50AC7">
        <w:trPr>
          <w:jc w:val="center"/>
        </w:trPr>
        <w:tc>
          <w:tcPr>
            <w:tcW w:w="1272" w:type="dxa"/>
          </w:tcPr>
          <w:p w:rsidR="00147E43" w:rsidRPr="00C809CF" w:rsidRDefault="00147E43" w:rsidP="00F50AC7">
            <w:pPr>
              <w:rPr>
                <w:rFonts w:ascii="Calibri" w:hAnsi="Calibri"/>
                <w:bCs/>
              </w:rPr>
            </w:pPr>
            <w:r>
              <w:rPr>
                <w:rFonts w:ascii="Calibri" w:hAnsi="Calibri"/>
                <w:bCs/>
              </w:rPr>
              <w:t>2°</w:t>
            </w:r>
          </w:p>
        </w:tc>
        <w:tc>
          <w:tcPr>
            <w:tcW w:w="4997" w:type="dxa"/>
          </w:tcPr>
          <w:p w:rsidR="00147E43" w:rsidRPr="00C809CF" w:rsidRDefault="00147E43" w:rsidP="00F50AC7">
            <w:pPr>
              <w:rPr>
                <w:rFonts w:ascii="Calibri" w:hAnsi="Calibri"/>
                <w:bCs/>
              </w:rPr>
            </w:pPr>
            <w:r>
              <w:rPr>
                <w:rFonts w:ascii="Calibri" w:hAnsi="Calibri"/>
                <w:bCs/>
              </w:rPr>
              <w:t>€ 11.001,00 – 18.000,00</w:t>
            </w:r>
          </w:p>
        </w:tc>
        <w:tc>
          <w:tcPr>
            <w:tcW w:w="1244" w:type="dxa"/>
            <w:tcBorders>
              <w:right w:val="single" w:sz="4" w:space="0" w:color="auto"/>
            </w:tcBorders>
          </w:tcPr>
          <w:p w:rsidR="00147E43" w:rsidRPr="00C809CF" w:rsidRDefault="00147E43" w:rsidP="00F50AC7">
            <w:pPr>
              <w:rPr>
                <w:rFonts w:ascii="Calibri" w:hAnsi="Calibri"/>
                <w:bCs/>
              </w:rPr>
            </w:pPr>
            <w:r>
              <w:rPr>
                <w:rFonts w:ascii="Calibri" w:hAnsi="Calibri"/>
                <w:bCs/>
              </w:rPr>
              <w:t>€   35,00</w:t>
            </w:r>
          </w:p>
        </w:tc>
      </w:tr>
      <w:tr w:rsidR="00147E43" w:rsidRPr="00C809CF" w:rsidTr="00F50AC7">
        <w:trPr>
          <w:jc w:val="center"/>
        </w:trPr>
        <w:tc>
          <w:tcPr>
            <w:tcW w:w="1272" w:type="dxa"/>
          </w:tcPr>
          <w:p w:rsidR="00147E43" w:rsidRPr="00C809CF" w:rsidRDefault="00147E43" w:rsidP="00F50AC7">
            <w:pPr>
              <w:rPr>
                <w:rFonts w:ascii="Calibri" w:hAnsi="Calibri"/>
                <w:bCs/>
              </w:rPr>
            </w:pPr>
            <w:r>
              <w:rPr>
                <w:rFonts w:ascii="Calibri" w:hAnsi="Calibri"/>
                <w:bCs/>
              </w:rPr>
              <w:t>3</w:t>
            </w:r>
            <w:r w:rsidRPr="00C809CF">
              <w:rPr>
                <w:rFonts w:ascii="Calibri" w:hAnsi="Calibri"/>
                <w:bCs/>
              </w:rPr>
              <w:t>°</w:t>
            </w:r>
          </w:p>
        </w:tc>
        <w:tc>
          <w:tcPr>
            <w:tcW w:w="4997" w:type="dxa"/>
          </w:tcPr>
          <w:p w:rsidR="00147E43" w:rsidRPr="00C809CF" w:rsidRDefault="00147E43" w:rsidP="00F50AC7">
            <w:pPr>
              <w:rPr>
                <w:rFonts w:ascii="Calibri" w:hAnsi="Calibri"/>
                <w:bCs/>
              </w:rPr>
            </w:pPr>
            <w:r>
              <w:rPr>
                <w:rFonts w:ascii="Calibri" w:hAnsi="Calibri"/>
                <w:bCs/>
              </w:rPr>
              <w:t>€ 18</w:t>
            </w:r>
            <w:r w:rsidRPr="00C809CF">
              <w:rPr>
                <w:rFonts w:ascii="Calibri" w:hAnsi="Calibri"/>
                <w:bCs/>
              </w:rPr>
              <w:t xml:space="preserve">.000,01 - € 25,000,00  </w:t>
            </w:r>
          </w:p>
        </w:tc>
        <w:tc>
          <w:tcPr>
            <w:tcW w:w="1244" w:type="dxa"/>
            <w:tcBorders>
              <w:right w:val="single" w:sz="4" w:space="0" w:color="auto"/>
            </w:tcBorders>
          </w:tcPr>
          <w:p w:rsidR="00147E43" w:rsidRPr="00C809CF" w:rsidRDefault="00147E43" w:rsidP="00F50AC7">
            <w:pPr>
              <w:rPr>
                <w:rFonts w:ascii="Calibri" w:hAnsi="Calibri"/>
                <w:bCs/>
              </w:rPr>
            </w:pPr>
            <w:r w:rsidRPr="00C809CF">
              <w:rPr>
                <w:rFonts w:ascii="Calibri" w:hAnsi="Calibri"/>
                <w:bCs/>
              </w:rPr>
              <w:t>€   20,00</w:t>
            </w:r>
          </w:p>
        </w:tc>
      </w:tr>
    </w:tbl>
    <w:p w:rsidR="001B232F" w:rsidRDefault="001B232F"/>
    <w:p w:rsidR="00147E43" w:rsidRPr="00147E43" w:rsidRDefault="00147E43" w:rsidP="00147E43">
      <w:pPr>
        <w:jc w:val="both"/>
        <w:rPr>
          <w:rFonts w:ascii="TimesNewRoman,Bold" w:hAnsi="TimesNewRoman,Bold" w:cs="TimesNewRoman,Bold"/>
          <w:b/>
          <w:bCs/>
        </w:rPr>
      </w:pPr>
      <w:r>
        <w:t xml:space="preserve">Per ottenere i contributi che saranno assegnati fino ad esaurimento dei fondi comunali stanziati, in base ad una graduatoria stilata sulla base del valore ISEE in modo crescente, in seguito verranno comunicate le date di presentazione delle domande che dovranno essere accompagnate </w:t>
      </w:r>
      <w:r w:rsidRPr="00147E43">
        <w:rPr>
          <w:b/>
        </w:rPr>
        <w:t xml:space="preserve">da copia della fattura o  </w:t>
      </w:r>
      <w:r w:rsidRPr="00147E43">
        <w:rPr>
          <w:rFonts w:ascii="TimesNewRoman" w:hAnsi="TimesNewRoman" w:cs="TimesNewRoman"/>
          <w:b/>
        </w:rPr>
        <w:t>documento equipollente</w:t>
      </w:r>
      <w:r w:rsidRPr="00147E43">
        <w:rPr>
          <w:rFonts w:ascii="TimesNewRoman,Bold" w:hAnsi="TimesNewRoman,Bold" w:cs="TimesNewRoman,Bold"/>
          <w:b/>
          <w:bCs/>
        </w:rPr>
        <w:t xml:space="preserve">  valido ai fini della deducibilità fiscale secondo le disposizioni  dell’Agenzia delle Entrate del soggetto che ha erogato il servizio.</w:t>
      </w:r>
    </w:p>
    <w:sectPr w:rsidR="00147E43" w:rsidRPr="00147E43" w:rsidSect="001B23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7B23"/>
    <w:rsid w:val="000E5689"/>
    <w:rsid w:val="00147E43"/>
    <w:rsid w:val="001B232F"/>
    <w:rsid w:val="001D6B56"/>
    <w:rsid w:val="00FB7B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3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r.maiolani</dc:creator>
  <cp:lastModifiedBy>r.maiolani</cp:lastModifiedBy>
  <cp:revision>2</cp:revision>
  <dcterms:created xsi:type="dcterms:W3CDTF">2020-07-02T14:50:00Z</dcterms:created>
  <dcterms:modified xsi:type="dcterms:W3CDTF">2020-07-02T15:22:00Z</dcterms:modified>
</cp:coreProperties>
</file>